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 w:rsidP="001B7AB5">
      <w:pPr>
        <w:spacing w:after="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1B7AB5" w:rsidRDefault="001B7AB5" w:rsidP="001B7AB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5135"/>
      </w:tblGrid>
      <w:tr w:rsidR="001B7AB5" w:rsidTr="001B7AB5">
        <w:tc>
          <w:tcPr>
            <w:tcW w:w="5211" w:type="dxa"/>
            <w:gridSpan w:val="2"/>
            <w:tcBorders>
              <w:bottom w:val="nil"/>
              <w:right w:val="nil"/>
            </w:tcBorders>
          </w:tcPr>
          <w:p w:rsidR="001B7AB5" w:rsidRDefault="001B7AB5" w:rsidP="005806B7">
            <w:pPr>
              <w:spacing w:after="0"/>
            </w:pPr>
            <w:r>
              <w:t xml:space="preserve">Kierunek studiów:   </w:t>
            </w:r>
            <w:r>
              <w:rPr>
                <w:b/>
              </w:rPr>
              <w:t>Elektrotechnika</w:t>
            </w:r>
            <w:r>
              <w:rPr>
                <w:b/>
              </w:rPr>
              <w:tab/>
            </w:r>
          </w:p>
        </w:tc>
        <w:tc>
          <w:tcPr>
            <w:tcW w:w="5135" w:type="dxa"/>
            <w:tcBorders>
              <w:left w:val="nil"/>
              <w:bottom w:val="nil"/>
            </w:tcBorders>
          </w:tcPr>
          <w:p w:rsidR="001B7AB5" w:rsidRDefault="001B7AB5" w:rsidP="005806B7">
            <w:pPr>
              <w:spacing w:after="0"/>
            </w:pPr>
            <w:r>
              <w:t xml:space="preserve">Stopień studiów:   </w:t>
            </w:r>
            <w:r>
              <w:rPr>
                <w:b/>
              </w:rPr>
              <w:t>drugi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top w:val="nil"/>
              <w:bottom w:val="single" w:sz="4" w:space="0" w:color="auto"/>
            </w:tcBorders>
          </w:tcPr>
          <w:p w:rsidR="001B7AB5" w:rsidRDefault="001B7AB5" w:rsidP="005806B7">
            <w:pPr>
              <w:spacing w:after="0"/>
            </w:pPr>
            <w:r w:rsidRPr="0070440F">
              <w:t>Specjalność</w:t>
            </w:r>
            <w:r>
              <w:t xml:space="preserve">:   </w:t>
            </w:r>
            <w:r w:rsidR="002E5B70">
              <w:rPr>
                <w:b/>
              </w:rPr>
              <w:t>Układy E</w:t>
            </w:r>
            <w:r w:rsidR="002E5B70" w:rsidRPr="002A6154">
              <w:rPr>
                <w:b/>
              </w:rPr>
              <w:t xml:space="preserve">lektryczne w </w:t>
            </w:r>
            <w:r w:rsidR="002E5B70">
              <w:rPr>
                <w:b/>
              </w:rPr>
              <w:t>P</w:t>
            </w:r>
            <w:r w:rsidR="002E5B70" w:rsidRPr="002A6154">
              <w:rPr>
                <w:b/>
              </w:rPr>
              <w:t xml:space="preserve">rzemyśle i </w:t>
            </w:r>
            <w:r w:rsidR="002E5B70">
              <w:rPr>
                <w:b/>
              </w:rPr>
              <w:t>P</w:t>
            </w:r>
            <w:r w:rsidR="002E5B70" w:rsidRPr="002A6154">
              <w:rPr>
                <w:b/>
              </w:rPr>
              <w:t>ojazdach</w:t>
            </w:r>
          </w:p>
        </w:tc>
      </w:tr>
      <w:tr w:rsidR="001B7AB5" w:rsidTr="001B7AB5">
        <w:tc>
          <w:tcPr>
            <w:tcW w:w="10346" w:type="dxa"/>
            <w:gridSpan w:val="3"/>
            <w:tcBorders>
              <w:left w:val="nil"/>
              <w:right w:val="nil"/>
            </w:tcBorders>
          </w:tcPr>
          <w:p w:rsidR="001B7AB5" w:rsidRPr="001B7AB5" w:rsidRDefault="001B7AB5" w:rsidP="005806B7">
            <w:pPr>
              <w:spacing w:after="0"/>
              <w:rPr>
                <w:sz w:val="16"/>
              </w:rPr>
            </w:pPr>
          </w:p>
        </w:tc>
      </w:tr>
      <w:tr w:rsidR="001B7AB5" w:rsidTr="005E761D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</w:pPr>
            <w:r>
              <w:t>Nr</w:t>
            </w:r>
          </w:p>
        </w:tc>
        <w:tc>
          <w:tcPr>
            <w:tcW w:w="9812" w:type="dxa"/>
            <w:gridSpan w:val="2"/>
          </w:tcPr>
          <w:p w:rsidR="001B7AB5" w:rsidRDefault="001B7AB5" w:rsidP="005806B7">
            <w:pPr>
              <w:spacing w:after="0"/>
            </w:pPr>
            <w:r>
              <w:t>Zagadnienie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</w:pPr>
            <w:r>
              <w:t>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Dziedziczenie, hermetyzacja i polimorfizm w programowaniu obiektowym </w:t>
            </w:r>
            <w:r w:rsidRPr="00894772">
              <w:rPr>
                <w:rFonts w:cstheme="minorHAnsi"/>
                <w:i/>
                <w:color w:val="000000"/>
              </w:rPr>
              <w:t>[Programowanie obiektowe]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</w:pPr>
            <w:r>
              <w:t>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Synteza dwójników pasywnych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276E29">
              <w:rPr>
                <w:rFonts w:cstheme="minorHAnsi"/>
                <w:b/>
                <w:color w:val="000000"/>
              </w:rPr>
              <w:t xml:space="preserve">Obwody nieliniowe prądu stałego oraz zmiennego i metody ich analizy </w:t>
            </w:r>
            <w:r w:rsidRPr="00276E29">
              <w:rPr>
                <w:rFonts w:cstheme="minorHAnsi"/>
                <w:i/>
                <w:color w:val="000000"/>
              </w:rPr>
              <w:t>[Elektrotechnika]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EB3D5E">
            <w:pPr>
              <w:spacing w:after="0"/>
              <w:rPr>
                <w:rFonts w:cstheme="minorHAnsi"/>
                <w:color w:val="000000"/>
              </w:rPr>
            </w:pPr>
            <w:r w:rsidRPr="005D3F15">
              <w:rPr>
                <w:b/>
              </w:rPr>
              <w:t xml:space="preserve">Struktury układów prostownikowych o quasi-sinusoidalnym prądzie sieci </w:t>
            </w:r>
            <w:r w:rsidRPr="005D3F15">
              <w:rPr>
                <w:bCs/>
                <w:i/>
              </w:rPr>
              <w:t>[Elektronika i</w:t>
            </w:r>
            <w:r w:rsidR="00EB3D5E">
              <w:rPr>
                <w:bCs/>
                <w:i/>
              </w:rPr>
              <w:t> </w:t>
            </w:r>
            <w:r w:rsidRPr="005D3F15">
              <w:rPr>
                <w:bCs/>
                <w:i/>
              </w:rPr>
              <w:t>energoelektronika]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Układ kogeneracyjny - zasada działania, sprawności, podstawowe parametry, przykłady </w:t>
            </w:r>
            <w:r w:rsidRPr="00DD15A4">
              <w:rPr>
                <w:rFonts w:cstheme="minorHAnsi"/>
                <w:i/>
                <w:color w:val="000000"/>
              </w:rPr>
              <w:t>[Odnawialne źródła energii]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642833">
              <w:rPr>
                <w:b/>
              </w:rPr>
              <w:t>Pomiary wielkości nieelektrycznych, metody, ocena niedokładności pomiarów</w:t>
            </w:r>
            <w:r w:rsidRPr="00642833">
              <w:rPr>
                <w:rFonts w:cstheme="minorHAnsi"/>
                <w:b/>
                <w:color w:val="000000"/>
              </w:rPr>
              <w:t xml:space="preserve"> </w:t>
            </w:r>
            <w:r w:rsidRPr="00642833">
              <w:rPr>
                <w:rFonts w:cstheme="minorHAnsi"/>
                <w:i/>
                <w:color w:val="000000"/>
              </w:rPr>
              <w:t>[Pomiary elektryczne wielkości nieelektrycznych]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Obliczanie sił i momentów w układach elektromagnetycznych liniowych i nieliniowych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C56778">
              <w:rPr>
                <w:rFonts w:cstheme="minorHAnsi"/>
                <w:b/>
                <w:color w:val="000000"/>
              </w:rPr>
              <w:t xml:space="preserve">Rodzaje pracy maszyn elektrycznych </w:t>
            </w:r>
            <w:r w:rsidRPr="00C56778">
              <w:rPr>
                <w:rFonts w:cstheme="minorHAnsi"/>
                <w:i/>
                <w:color w:val="000000"/>
              </w:rPr>
              <w:t>[Elektromechaniczne systemy napędowe]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pStyle w:val="Bezodstpw"/>
              <w:spacing w:line="276" w:lineRule="auto"/>
              <w:jc w:val="center"/>
            </w:pPr>
            <w:r>
              <w:t>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 xml:space="preserve">Identyfikacja przyrządów pomiarowych sterowanych </w:t>
            </w:r>
            <w:r>
              <w:rPr>
                <w:rFonts w:cstheme="minorHAnsi"/>
                <w:b/>
                <w:color w:val="000000"/>
              </w:rPr>
              <w:t xml:space="preserve">zdalnie </w:t>
            </w:r>
            <w:r w:rsidRPr="00894772">
              <w:rPr>
                <w:rFonts w:cstheme="minorHAnsi"/>
                <w:b/>
                <w:color w:val="000000"/>
              </w:rPr>
              <w:t>po RS232C, USB, GPIB, LAN w systemie operacyjnym Windows</w:t>
            </w:r>
            <w:r w:rsidRPr="00894772">
              <w:rPr>
                <w:rFonts w:cstheme="minorHAnsi"/>
                <w:color w:val="000000"/>
              </w:rPr>
              <w:t xml:space="preserve"> </w:t>
            </w:r>
            <w:r w:rsidRPr="00894772">
              <w:rPr>
                <w:rFonts w:cstheme="minorHAnsi"/>
                <w:i/>
                <w:color w:val="000000"/>
              </w:rPr>
              <w:t>[Komputerowe systemy pomiarowe]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pStyle w:val="Bezodstpw"/>
              <w:spacing w:line="276" w:lineRule="auto"/>
              <w:jc w:val="center"/>
            </w:pPr>
            <w:r>
              <w:t>10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DD15A4" w:rsidRDefault="001B7AB5" w:rsidP="005806B7">
            <w:pPr>
              <w:spacing w:after="0"/>
              <w:rPr>
                <w:rFonts w:cstheme="minorHAnsi"/>
                <w:i/>
                <w:color w:val="000000"/>
              </w:rPr>
            </w:pPr>
            <w:r w:rsidRPr="00894772">
              <w:rPr>
                <w:rFonts w:cstheme="minorHAnsi"/>
                <w:b/>
                <w:color w:val="000000"/>
              </w:rPr>
              <w:t>Idea przetwarzania potokowego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DD15A4">
              <w:rPr>
                <w:rFonts w:cstheme="minorHAnsi"/>
                <w:i/>
                <w:color w:val="000000"/>
              </w:rPr>
              <w:t>[Technika mikroprocesorowa]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pStyle w:val="Bezodstpw"/>
              <w:spacing w:line="276" w:lineRule="auto"/>
              <w:jc w:val="center"/>
            </w:pPr>
            <w:r>
              <w:t>11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8157B2">
              <w:rPr>
                <w:rFonts w:cstheme="minorHAnsi"/>
                <w:b/>
                <w:color w:val="000000"/>
              </w:rPr>
              <w:t xml:space="preserve">Sposoby wymiany ciepła </w:t>
            </w:r>
            <w:r w:rsidRPr="008157B2">
              <w:rPr>
                <w:rFonts w:cstheme="minorHAnsi"/>
                <w:i/>
                <w:color w:val="000000"/>
              </w:rPr>
              <w:t>[Technika świetlna i elektrotermia]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pStyle w:val="Bezodstpw"/>
              <w:spacing w:line="276" w:lineRule="auto"/>
              <w:jc w:val="center"/>
            </w:pPr>
            <w:r>
              <w:t>12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C54608">
              <w:rPr>
                <w:b/>
              </w:rPr>
              <w:t xml:space="preserve">Metody projektowania filtrów cyfrowych </w:t>
            </w:r>
            <w:r w:rsidRPr="00C54608">
              <w:rPr>
                <w:bCs/>
                <w:i/>
              </w:rPr>
              <w:t>[Wybrane zagadnienia przetwarzania sygnałów]</w:t>
            </w:r>
          </w:p>
        </w:tc>
      </w:tr>
      <w:tr w:rsidR="001B7AB5" w:rsidTr="001D409A">
        <w:tc>
          <w:tcPr>
            <w:tcW w:w="534" w:type="dxa"/>
          </w:tcPr>
          <w:p w:rsidR="001B7AB5" w:rsidRDefault="001B7AB5" w:rsidP="005806B7">
            <w:pPr>
              <w:pStyle w:val="Bezodstpw"/>
              <w:spacing w:line="276" w:lineRule="auto"/>
              <w:jc w:val="center"/>
            </w:pPr>
            <w:r>
              <w:t>13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DD15A4">
              <w:rPr>
                <w:rFonts w:cstheme="minorHAnsi"/>
                <w:b/>
                <w:color w:val="000000"/>
              </w:rPr>
              <w:t xml:space="preserve">Sposoby sprzężeń zaburzeń elektromagnetycznych </w:t>
            </w:r>
            <w:r w:rsidRPr="00DD15A4">
              <w:rPr>
                <w:rFonts w:cstheme="minorHAnsi"/>
                <w:i/>
                <w:color w:val="000000"/>
              </w:rPr>
              <w:t>[Kompatybilność elektromagnetyczna]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5806B7">
            <w:pPr>
              <w:pStyle w:val="Bezodstpw"/>
              <w:spacing w:line="276" w:lineRule="auto"/>
              <w:jc w:val="center"/>
            </w:pPr>
            <w:r>
              <w:t>14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6711D7">
              <w:rPr>
                <w:rFonts w:cstheme="minorHAnsi"/>
                <w:b/>
                <w:color w:val="000000"/>
              </w:rPr>
              <w:t>Statystyczne metody analizy i prezentacji danych</w:t>
            </w:r>
            <w:r w:rsidRPr="00DD15A4">
              <w:rPr>
                <w:rFonts w:cstheme="minorHAnsi"/>
                <w:color w:val="000000"/>
              </w:rPr>
              <w:t xml:space="preserve"> </w:t>
            </w:r>
            <w:r w:rsidRPr="006711D7">
              <w:rPr>
                <w:rFonts w:cstheme="minorHAnsi"/>
                <w:i/>
                <w:color w:val="000000"/>
              </w:rPr>
              <w:t>[Statystyczne sterowanie procesami]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5806B7">
            <w:pPr>
              <w:pStyle w:val="Bezodstpw"/>
              <w:spacing w:line="276" w:lineRule="auto"/>
              <w:jc w:val="center"/>
            </w:pPr>
            <w:r>
              <w:t>15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9E7B60">
              <w:rPr>
                <w:rFonts w:cstheme="minorHAnsi"/>
                <w:b/>
                <w:color w:val="000000"/>
              </w:rPr>
              <w:t xml:space="preserve">Elektrownie wodne - rodzaje, rola i zadania w systemie elektroenergetycznym </w:t>
            </w:r>
            <w:r w:rsidRPr="009E7B60">
              <w:rPr>
                <w:rFonts w:cstheme="minorHAnsi"/>
                <w:i/>
                <w:color w:val="000000"/>
              </w:rPr>
              <w:t>[Wytwarzanie energii elektrycznej]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5806B7">
            <w:pPr>
              <w:pStyle w:val="Bezodstpw"/>
              <w:spacing w:line="276" w:lineRule="auto"/>
              <w:jc w:val="center"/>
            </w:pPr>
            <w:r>
              <w:t>16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EB3D5E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Działanie i zastosowanie algorytmów ewolucyjnych w zadaniach optymalizacji </w:t>
            </w:r>
            <w:r w:rsidRPr="009E7B60">
              <w:rPr>
                <w:i/>
              </w:rPr>
              <w:t>[Algorytmy decyzyjne w</w:t>
            </w:r>
            <w:r w:rsidR="00EB3D5E">
              <w:rPr>
                <w:i/>
              </w:rPr>
              <w:t> </w:t>
            </w:r>
            <w:bookmarkStart w:id="0" w:name="_GoBack"/>
            <w:bookmarkEnd w:id="0"/>
            <w:r w:rsidRPr="009E7B60">
              <w:rPr>
                <w:i/>
              </w:rPr>
              <w:t>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2945D4" w:rsidRDefault="001B7AB5" w:rsidP="005806B7">
            <w:pPr>
              <w:pStyle w:val="Bezodstpw"/>
              <w:spacing w:line="276" w:lineRule="auto"/>
              <w:jc w:val="center"/>
            </w:pPr>
            <w:r>
              <w:t>17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5806B7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Zagrożenia </w:t>
            </w:r>
            <w:proofErr w:type="spellStart"/>
            <w:r w:rsidRPr="009E7B60">
              <w:rPr>
                <w:b/>
              </w:rPr>
              <w:t>cyberbezpieczeństwa</w:t>
            </w:r>
            <w:proofErr w:type="spellEnd"/>
            <w:r w:rsidRPr="009E7B60">
              <w:rPr>
                <w:b/>
              </w:rPr>
              <w:t xml:space="preserve"> dla systemów teleinformatycznych </w:t>
            </w:r>
            <w:r>
              <w:rPr>
                <w:b/>
              </w:rPr>
              <w:t xml:space="preserve">- </w:t>
            </w:r>
            <w:r w:rsidRPr="009E7B60">
              <w:rPr>
                <w:b/>
              </w:rPr>
              <w:t>podział i metody ataków</w:t>
            </w:r>
            <w:r>
              <w:rPr>
                <w:b/>
              </w:rPr>
              <w:t xml:space="preserve"> </w:t>
            </w:r>
            <w:r w:rsidRPr="009E7B60">
              <w:rPr>
                <w:i/>
              </w:rPr>
              <w:t>[Cyberbezpieczeństwo i telekomunikacja w elektroenergetyce]</w:t>
            </w:r>
          </w:p>
        </w:tc>
      </w:tr>
      <w:tr w:rsidR="001B7AB5" w:rsidTr="005E761D">
        <w:tc>
          <w:tcPr>
            <w:tcW w:w="534" w:type="dxa"/>
          </w:tcPr>
          <w:p w:rsidR="001B7AB5" w:rsidRPr="00AB7F04" w:rsidRDefault="001B7AB5" w:rsidP="005806B7">
            <w:pPr>
              <w:pStyle w:val="Bezodstpw"/>
              <w:spacing w:line="276" w:lineRule="auto"/>
              <w:jc w:val="center"/>
            </w:pPr>
            <w:r>
              <w:t>18</w:t>
            </w:r>
          </w:p>
        </w:tc>
        <w:tc>
          <w:tcPr>
            <w:tcW w:w="9812" w:type="dxa"/>
            <w:gridSpan w:val="2"/>
          </w:tcPr>
          <w:p w:rsidR="001B7AB5" w:rsidRPr="009E7B60" w:rsidRDefault="001B7AB5" w:rsidP="005806B7">
            <w:pPr>
              <w:pStyle w:val="Bezodstpw"/>
              <w:spacing w:line="276" w:lineRule="auto"/>
              <w:rPr>
                <w:b/>
              </w:rPr>
            </w:pPr>
            <w:r w:rsidRPr="009E7B60">
              <w:rPr>
                <w:b/>
              </w:rPr>
              <w:t xml:space="preserve">Wyższe harmoniczne prądów i napięć - istota, przyczyny powstawania, skutki oddziaływania </w:t>
            </w:r>
            <w:r w:rsidRPr="009E7B60">
              <w:rPr>
                <w:i/>
              </w:rPr>
              <w:t>[Zakłócenia w układach elektroenergetycznych]</w:t>
            </w:r>
          </w:p>
        </w:tc>
      </w:tr>
      <w:tr w:rsidR="001B7AB5" w:rsidTr="001D409A">
        <w:tc>
          <w:tcPr>
            <w:tcW w:w="534" w:type="dxa"/>
          </w:tcPr>
          <w:p w:rsidR="001B7AB5" w:rsidRPr="002945D4" w:rsidRDefault="001B7AB5" w:rsidP="005806B7">
            <w:pPr>
              <w:pStyle w:val="Bezodstpw"/>
              <w:spacing w:line="276" w:lineRule="auto"/>
              <w:jc w:val="center"/>
            </w:pPr>
            <w:r>
              <w:t>19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>Sposób pomiaru wysokiego napięcia stałego przy wykorzystaniu mikrokontrolera</w:t>
            </w:r>
            <w:r w:rsidRPr="00F76F13"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i/>
                <w:color w:val="000000"/>
              </w:rPr>
              <w:t>[</w:t>
            </w:r>
            <w:r w:rsidRPr="00F76F13">
              <w:rPr>
                <w:rFonts w:cstheme="minorHAnsi"/>
                <w:i/>
                <w:color w:val="000000"/>
              </w:rPr>
              <w:t>Projektowanie układów pomiarowo-regulacyjnych]</w:t>
            </w:r>
          </w:p>
        </w:tc>
      </w:tr>
      <w:tr w:rsidR="001B7AB5" w:rsidTr="001D409A">
        <w:tc>
          <w:tcPr>
            <w:tcW w:w="534" w:type="dxa"/>
          </w:tcPr>
          <w:p w:rsidR="001B7AB5" w:rsidRPr="00AB7F04" w:rsidRDefault="001B7AB5" w:rsidP="005806B7">
            <w:pPr>
              <w:pStyle w:val="Bezodstpw"/>
              <w:spacing w:line="276" w:lineRule="auto"/>
              <w:jc w:val="center"/>
            </w:pPr>
            <w:r>
              <w:t>20</w:t>
            </w:r>
          </w:p>
        </w:tc>
        <w:tc>
          <w:tcPr>
            <w:tcW w:w="9812" w:type="dxa"/>
            <w:gridSpan w:val="2"/>
            <w:vAlign w:val="bottom"/>
          </w:tcPr>
          <w:p w:rsidR="001B7AB5" w:rsidRPr="00B74561" w:rsidRDefault="001B7AB5" w:rsidP="005806B7">
            <w:pPr>
              <w:spacing w:after="0"/>
              <w:rPr>
                <w:rFonts w:cstheme="minorHAnsi"/>
                <w:color w:val="000000"/>
              </w:rPr>
            </w:pPr>
            <w:r w:rsidRPr="00F76F13">
              <w:rPr>
                <w:b/>
              </w:rPr>
              <w:t xml:space="preserve">Wyładowania niezupełne w urządzeniach elektroenergetycznych - metody detekcji i lokalizacji </w:t>
            </w:r>
            <w:r w:rsidRPr="00F76F13">
              <w:rPr>
                <w:rFonts w:cstheme="minorHAnsi"/>
                <w:i/>
                <w:color w:val="000000"/>
              </w:rPr>
              <w:t>[Technika wysokich napięć]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Układy bezpieczeństwa czynnego stosowane w pojazdach - ABS, ASR, ESP </w:t>
            </w:r>
            <w:r w:rsidRPr="0081787E">
              <w:rPr>
                <w:rFonts w:cstheme="minorHAnsi"/>
                <w:i/>
                <w:color w:val="000000"/>
              </w:rPr>
              <w:t>[Układy elektroniczne pojazdów]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</w:rPr>
            </w:pPr>
            <w:r w:rsidRPr="0081787E">
              <w:rPr>
                <w:rFonts w:cstheme="minorHAnsi"/>
                <w:b/>
                <w:color w:val="000000"/>
              </w:rPr>
              <w:t>Układy bezpieczeństwa biernego stosowane w pojazdach</w:t>
            </w:r>
            <w:r w:rsidRPr="0081787E">
              <w:rPr>
                <w:rFonts w:cstheme="minorHAnsi"/>
                <w:b/>
              </w:rPr>
              <w:t xml:space="preserve"> </w:t>
            </w:r>
            <w:r w:rsidRPr="0081787E">
              <w:rPr>
                <w:rFonts w:cstheme="minorHAnsi"/>
                <w:i/>
              </w:rPr>
              <w:t>[Układy elektroniczne pojazdów]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</w:rPr>
              <w:t>Czujniki przyspieszenia stosowane w pojazdach samochodowych</w:t>
            </w:r>
            <w:r w:rsidRPr="0081787E">
              <w:rPr>
                <w:rFonts w:cstheme="minorHAnsi"/>
                <w:b/>
                <w:color w:val="000000"/>
              </w:rPr>
              <w:t xml:space="preserve"> </w:t>
            </w:r>
            <w:r w:rsidRPr="0081787E">
              <w:rPr>
                <w:rFonts w:cstheme="minorHAnsi"/>
                <w:i/>
                <w:color w:val="000000"/>
              </w:rPr>
              <w:t xml:space="preserve">[Układy elektroniczne </w:t>
            </w:r>
            <w:r w:rsidRPr="0081787E">
              <w:rPr>
                <w:rFonts w:cstheme="minorHAnsi"/>
                <w:i/>
              </w:rPr>
              <w:t>pojazdów</w:t>
            </w:r>
            <w:r w:rsidRPr="0081787E">
              <w:rPr>
                <w:rFonts w:cstheme="minorHAnsi"/>
                <w:i/>
                <w:color w:val="000000"/>
              </w:rPr>
              <w:t>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Budowa i zasada działania systemu </w:t>
            </w:r>
            <w:proofErr w:type="spellStart"/>
            <w:r w:rsidRPr="0081787E">
              <w:rPr>
                <w:rFonts w:cstheme="minorHAnsi"/>
                <w:b/>
                <w:color w:val="000000"/>
              </w:rPr>
              <w:t>Common</w:t>
            </w:r>
            <w:proofErr w:type="spellEnd"/>
            <w:r w:rsidRPr="0081787E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81787E">
              <w:rPr>
                <w:rFonts w:cstheme="minorHAnsi"/>
                <w:b/>
                <w:color w:val="000000"/>
              </w:rPr>
              <w:t>Rail</w:t>
            </w:r>
            <w:proofErr w:type="spellEnd"/>
            <w:r w:rsidRPr="0081787E">
              <w:rPr>
                <w:rFonts w:cstheme="minorHAnsi"/>
                <w:b/>
                <w:color w:val="000000"/>
              </w:rPr>
              <w:t xml:space="preserve"> </w:t>
            </w:r>
            <w:r w:rsidRPr="0081787E">
              <w:rPr>
                <w:rFonts w:cstheme="minorHAnsi"/>
                <w:i/>
                <w:color w:val="000000"/>
              </w:rPr>
              <w:t>[Układy elektroniczne pojazdów]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Magistrale danych w pojazdach samochodowych </w:t>
            </w:r>
            <w:r w:rsidRPr="0081787E">
              <w:rPr>
                <w:rFonts w:cstheme="minorHAnsi"/>
                <w:i/>
                <w:color w:val="000000"/>
              </w:rPr>
              <w:t>[Układy elektroniczne pojazdów]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</w:rPr>
            </w:pPr>
            <w:r w:rsidRPr="0081787E">
              <w:rPr>
                <w:b/>
              </w:rPr>
              <w:t>Regulator PID</w:t>
            </w:r>
            <w:r w:rsidRPr="0081787E">
              <w:rPr>
                <w:rFonts w:cstheme="minorHAnsi"/>
                <w:b/>
              </w:rPr>
              <w:t xml:space="preserve"> </w:t>
            </w:r>
            <w:r w:rsidRPr="0081787E">
              <w:rPr>
                <w:rFonts w:cstheme="minorHAnsi"/>
                <w:bCs/>
                <w:i/>
              </w:rPr>
              <w:t>[Układy automatyki przemysłowej]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</w:rPr>
            </w:pPr>
            <w:r w:rsidRPr="0081787E">
              <w:rPr>
                <w:b/>
              </w:rPr>
              <w:t>Sterowniki PLC</w:t>
            </w:r>
            <w:r w:rsidRPr="0081787E">
              <w:rPr>
                <w:rFonts w:cstheme="minorHAnsi"/>
                <w:b/>
              </w:rPr>
              <w:t xml:space="preserve"> </w:t>
            </w:r>
            <w:r w:rsidRPr="0081787E">
              <w:rPr>
                <w:rFonts w:cstheme="minorHAnsi"/>
                <w:bCs/>
                <w:i/>
              </w:rPr>
              <w:t>[Układy automatyki przemysłowej]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b/>
              </w:rPr>
              <w:t>Języki programowania sterowników PLC</w:t>
            </w:r>
            <w:r w:rsidRPr="0081787E">
              <w:rPr>
                <w:rFonts w:cstheme="minorHAnsi"/>
                <w:b/>
              </w:rPr>
              <w:t xml:space="preserve"> </w:t>
            </w:r>
            <w:r w:rsidRPr="0081787E">
              <w:rPr>
                <w:rFonts w:cstheme="minorHAnsi"/>
                <w:bCs/>
                <w:i/>
              </w:rPr>
              <w:t>[Układy automatyki przemysłowej]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b/>
              </w:rPr>
              <w:t xml:space="preserve">Porównanie układów sterowania analogowego i cyfrowego </w:t>
            </w:r>
            <w:r w:rsidRPr="0081787E">
              <w:rPr>
                <w:rFonts w:cstheme="minorHAnsi"/>
                <w:bCs/>
                <w:i/>
              </w:rPr>
              <w:t>[Układy automatyki przemysłowej]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b/>
              </w:rPr>
              <w:t xml:space="preserve">Rodzaje serwerów w systemach SCADA </w:t>
            </w:r>
            <w:r w:rsidRPr="0081787E">
              <w:rPr>
                <w:rFonts w:cstheme="minorHAnsi"/>
                <w:i/>
                <w:color w:val="000000"/>
              </w:rPr>
              <w:t>[Systemy SCADA]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b/>
              </w:rPr>
              <w:t>Alarmy sprzętowe i programowe (konfigurowalne) w systemach SCADA</w:t>
            </w:r>
            <w:r w:rsidRPr="0081787E">
              <w:rPr>
                <w:rFonts w:cstheme="minorHAnsi"/>
                <w:b/>
                <w:color w:val="000000"/>
              </w:rPr>
              <w:t xml:space="preserve"> </w:t>
            </w:r>
            <w:r w:rsidRPr="0081787E">
              <w:rPr>
                <w:rFonts w:cstheme="minorHAnsi"/>
                <w:i/>
                <w:color w:val="000000"/>
              </w:rPr>
              <w:t>[Systemy SCADA]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Czujniki ruchu, gazów i przeciwpożarowe </w:t>
            </w:r>
            <w:r w:rsidRPr="0081787E">
              <w:rPr>
                <w:rFonts w:cstheme="minorHAnsi"/>
                <w:i/>
                <w:color w:val="000000"/>
              </w:rPr>
              <w:t>[Techniki zabezpieczenia mienia]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Praca systemów alarmowych </w:t>
            </w:r>
            <w:r w:rsidRPr="0081787E">
              <w:rPr>
                <w:rFonts w:cstheme="minorHAnsi"/>
                <w:i/>
                <w:color w:val="000000"/>
              </w:rPr>
              <w:t>[Techniki zabezpieczenia mienia]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Przewody i zabezpieczenia w instalacjach elektrycznych </w:t>
            </w:r>
            <w:r w:rsidRPr="0081787E">
              <w:rPr>
                <w:rFonts w:cstheme="minorHAnsi"/>
                <w:bCs/>
                <w:i/>
                <w:color w:val="000000"/>
              </w:rPr>
              <w:t>[Instalacje elektryczne w przemyśle i pojazdach]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Ochrona przeciwporażeniowa i przeciwprzepięciowa w instalacjach elektrycznych </w:t>
            </w:r>
            <w:r w:rsidRPr="0081787E">
              <w:rPr>
                <w:rFonts w:cstheme="minorHAnsi"/>
                <w:bCs/>
                <w:i/>
                <w:color w:val="000000"/>
              </w:rPr>
              <w:t>[Instalacje elektryczne w przemyśle i pojazdach]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Pojazdy hybrydowe </w:t>
            </w:r>
            <w:r w:rsidRPr="0081787E">
              <w:rPr>
                <w:rFonts w:cstheme="minorHAnsi"/>
                <w:i/>
                <w:color w:val="000000"/>
              </w:rPr>
              <w:t>[Pojazdy elektryczne i hybrydowe]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Pojazdy elektryczne </w:t>
            </w:r>
            <w:r w:rsidRPr="0081787E">
              <w:rPr>
                <w:rFonts w:cstheme="minorHAnsi"/>
                <w:i/>
                <w:color w:val="000000"/>
              </w:rPr>
              <w:t>[Pojazdy elektryczne i hybrydowe]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rFonts w:cstheme="minorHAnsi"/>
                <w:b/>
                <w:color w:val="000000"/>
              </w:rPr>
              <w:t xml:space="preserve">Magazyny energii elektrycznej i ich podstawowe parametry </w:t>
            </w:r>
            <w:r w:rsidRPr="0081787E">
              <w:rPr>
                <w:rFonts w:cstheme="minorHAnsi"/>
                <w:i/>
                <w:color w:val="000000"/>
              </w:rPr>
              <w:t>[Pojazdy elektryczne i hybrydowe]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b/>
              </w:rPr>
              <w:t>Cechy szczególne systemów BMS (IBMS) otwartych i zamkniętych</w:t>
            </w:r>
            <w:r w:rsidRPr="0081787E">
              <w:rPr>
                <w:rFonts w:cstheme="minorHAnsi"/>
                <w:b/>
                <w:color w:val="000000"/>
              </w:rPr>
              <w:t xml:space="preserve"> </w:t>
            </w:r>
            <w:r w:rsidRPr="0081787E">
              <w:rPr>
                <w:rFonts w:cstheme="minorHAnsi"/>
                <w:i/>
                <w:color w:val="000000"/>
              </w:rPr>
              <w:t>[Budynek inteligentny]</w:t>
            </w:r>
          </w:p>
        </w:tc>
      </w:tr>
      <w:tr w:rsidR="002E5B70" w:rsidTr="00980EBD">
        <w:tc>
          <w:tcPr>
            <w:tcW w:w="534" w:type="dxa"/>
          </w:tcPr>
          <w:p w:rsidR="002E5B70" w:rsidRDefault="002E5B70" w:rsidP="005806B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12" w:type="dxa"/>
            <w:gridSpan w:val="2"/>
            <w:vAlign w:val="bottom"/>
          </w:tcPr>
          <w:p w:rsidR="002E5B70" w:rsidRPr="0081787E" w:rsidRDefault="002E5B70" w:rsidP="005806B7">
            <w:pPr>
              <w:spacing w:after="0"/>
              <w:rPr>
                <w:rFonts w:cstheme="minorHAnsi"/>
                <w:b/>
                <w:color w:val="000000"/>
              </w:rPr>
            </w:pPr>
            <w:r w:rsidRPr="0081787E">
              <w:rPr>
                <w:b/>
              </w:rPr>
              <w:t>Instalacje techniczne w budynkach inteligentnych</w:t>
            </w:r>
            <w:r w:rsidRPr="0081787E">
              <w:rPr>
                <w:rFonts w:cstheme="minorHAnsi"/>
                <w:b/>
                <w:color w:val="000000"/>
              </w:rPr>
              <w:t xml:space="preserve"> </w:t>
            </w:r>
            <w:r w:rsidRPr="0081787E">
              <w:rPr>
                <w:rFonts w:cstheme="minorHAnsi"/>
                <w:i/>
                <w:color w:val="000000"/>
              </w:rPr>
              <w:t>[Budynek inteligentny]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5806B7">
      <w:headerReference w:type="default" r:id="rId7"/>
      <w:pgSz w:w="11906" w:h="16838"/>
      <w:pgMar w:top="851" w:right="849" w:bottom="1135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EB" w:rsidRDefault="00E050EB">
      <w:pPr>
        <w:spacing w:after="0" w:line="240" w:lineRule="auto"/>
      </w:pPr>
      <w:r>
        <w:separator/>
      </w:r>
    </w:p>
  </w:endnote>
  <w:endnote w:type="continuationSeparator" w:id="0">
    <w:p w:rsidR="00E050EB" w:rsidRDefault="00E0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EB" w:rsidRDefault="00E050EB">
      <w:pPr>
        <w:spacing w:after="0" w:line="240" w:lineRule="auto"/>
      </w:pPr>
      <w:r>
        <w:separator/>
      </w:r>
    </w:p>
  </w:footnote>
  <w:footnote w:type="continuationSeparator" w:id="0">
    <w:p w:rsidR="00E050EB" w:rsidRDefault="00E0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35C30"/>
    <w:rsid w:val="00057B85"/>
    <w:rsid w:val="0007336F"/>
    <w:rsid w:val="000A436C"/>
    <w:rsid w:val="000A6EFB"/>
    <w:rsid w:val="000B56B4"/>
    <w:rsid w:val="00131231"/>
    <w:rsid w:val="00152108"/>
    <w:rsid w:val="001930A1"/>
    <w:rsid w:val="001B7AB5"/>
    <w:rsid w:val="001F51A5"/>
    <w:rsid w:val="001F7026"/>
    <w:rsid w:val="00214E43"/>
    <w:rsid w:val="00251452"/>
    <w:rsid w:val="00260E54"/>
    <w:rsid w:val="0026191E"/>
    <w:rsid w:val="00263161"/>
    <w:rsid w:val="00276E29"/>
    <w:rsid w:val="002945D4"/>
    <w:rsid w:val="002C2DA2"/>
    <w:rsid w:val="002C3FFD"/>
    <w:rsid w:val="002E18C5"/>
    <w:rsid w:val="002E5B70"/>
    <w:rsid w:val="00301A21"/>
    <w:rsid w:val="003209D4"/>
    <w:rsid w:val="0036310B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D78CF"/>
    <w:rsid w:val="004F4FC5"/>
    <w:rsid w:val="004F6AE4"/>
    <w:rsid w:val="00502FC9"/>
    <w:rsid w:val="00521CBE"/>
    <w:rsid w:val="005420EE"/>
    <w:rsid w:val="00561FAA"/>
    <w:rsid w:val="005806B7"/>
    <w:rsid w:val="005A091B"/>
    <w:rsid w:val="005B7198"/>
    <w:rsid w:val="005D3F15"/>
    <w:rsid w:val="005F7205"/>
    <w:rsid w:val="0063706F"/>
    <w:rsid w:val="00642833"/>
    <w:rsid w:val="00642F8F"/>
    <w:rsid w:val="00660A32"/>
    <w:rsid w:val="006711D7"/>
    <w:rsid w:val="00681C06"/>
    <w:rsid w:val="00695FC5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7F1D2C"/>
    <w:rsid w:val="008139C8"/>
    <w:rsid w:val="008157B2"/>
    <w:rsid w:val="00822D10"/>
    <w:rsid w:val="008256F4"/>
    <w:rsid w:val="0083222C"/>
    <w:rsid w:val="00840088"/>
    <w:rsid w:val="00866722"/>
    <w:rsid w:val="00894772"/>
    <w:rsid w:val="008B6BE9"/>
    <w:rsid w:val="008C4C22"/>
    <w:rsid w:val="008D6A7B"/>
    <w:rsid w:val="008E6372"/>
    <w:rsid w:val="008F5203"/>
    <w:rsid w:val="00916F9D"/>
    <w:rsid w:val="00917A54"/>
    <w:rsid w:val="009419F4"/>
    <w:rsid w:val="009575B0"/>
    <w:rsid w:val="00960C90"/>
    <w:rsid w:val="00987433"/>
    <w:rsid w:val="009E39DD"/>
    <w:rsid w:val="009E7B60"/>
    <w:rsid w:val="00A051F4"/>
    <w:rsid w:val="00A1369B"/>
    <w:rsid w:val="00A512FE"/>
    <w:rsid w:val="00A81B7B"/>
    <w:rsid w:val="00AB3D10"/>
    <w:rsid w:val="00AB66F7"/>
    <w:rsid w:val="00AB7F04"/>
    <w:rsid w:val="00AD2BC5"/>
    <w:rsid w:val="00AE5D4D"/>
    <w:rsid w:val="00B063B1"/>
    <w:rsid w:val="00B45FBB"/>
    <w:rsid w:val="00B5534B"/>
    <w:rsid w:val="00B6106C"/>
    <w:rsid w:val="00BA38DE"/>
    <w:rsid w:val="00BA43A4"/>
    <w:rsid w:val="00BB0406"/>
    <w:rsid w:val="00BE37A4"/>
    <w:rsid w:val="00C02524"/>
    <w:rsid w:val="00C07B3D"/>
    <w:rsid w:val="00C26218"/>
    <w:rsid w:val="00C54608"/>
    <w:rsid w:val="00C56778"/>
    <w:rsid w:val="00C72B0E"/>
    <w:rsid w:val="00C763C4"/>
    <w:rsid w:val="00CA4F20"/>
    <w:rsid w:val="00CA5C69"/>
    <w:rsid w:val="00CB4B7E"/>
    <w:rsid w:val="00CE1C98"/>
    <w:rsid w:val="00CE4F0D"/>
    <w:rsid w:val="00CF734F"/>
    <w:rsid w:val="00D0695C"/>
    <w:rsid w:val="00D07E0C"/>
    <w:rsid w:val="00D773B5"/>
    <w:rsid w:val="00DA02A3"/>
    <w:rsid w:val="00DD15A4"/>
    <w:rsid w:val="00E050EB"/>
    <w:rsid w:val="00E05A0E"/>
    <w:rsid w:val="00E253B4"/>
    <w:rsid w:val="00E33784"/>
    <w:rsid w:val="00E54269"/>
    <w:rsid w:val="00E57597"/>
    <w:rsid w:val="00E75593"/>
    <w:rsid w:val="00E77F9A"/>
    <w:rsid w:val="00E91CE2"/>
    <w:rsid w:val="00EA7208"/>
    <w:rsid w:val="00EA79E0"/>
    <w:rsid w:val="00EB3D5E"/>
    <w:rsid w:val="00EF5B8E"/>
    <w:rsid w:val="00F05A55"/>
    <w:rsid w:val="00F45927"/>
    <w:rsid w:val="00F74C82"/>
    <w:rsid w:val="00F76F13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4802"/>
  <w15:docId w15:val="{D575B02D-83D0-4361-A109-C14B6040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character" w:customStyle="1" w:styleId="object">
    <w:name w:val="object"/>
    <w:basedOn w:val="Domylnaczcionkaakapitu"/>
    <w:uiPriority w:val="99"/>
    <w:rsid w:val="005D3F15"/>
  </w:style>
  <w:style w:type="paragraph" w:customStyle="1" w:styleId="Normalny1">
    <w:name w:val="Normalny1"/>
    <w:rsid w:val="001B7AB5"/>
    <w:pPr>
      <w:spacing w:after="200" w:line="276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89</cp:revision>
  <dcterms:created xsi:type="dcterms:W3CDTF">2017-11-30T21:29:00Z</dcterms:created>
  <dcterms:modified xsi:type="dcterms:W3CDTF">2023-12-28T14:37:00Z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